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639.0" w:type="dxa"/>
        <w:jc w:val="left"/>
        <w:tblInd w:w="-5.0" w:type="dxa"/>
        <w:tblLayout w:type="fixed"/>
        <w:tblLook w:val="0400"/>
      </w:tblPr>
      <w:tblGrid>
        <w:gridCol w:w="4962"/>
        <w:gridCol w:w="4677"/>
        <w:tblGridChange w:id="0">
          <w:tblGrid>
            <w:gridCol w:w="4962"/>
            <w:gridCol w:w="4677"/>
          </w:tblGrid>
        </w:tblGridChange>
      </w:tblGrid>
      <w:tr>
        <w:trPr>
          <w:cantSplit w:val="1"/>
          <w:trHeight w:val="32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TIPO DE INFORME</w:t>
            </w:r>
          </w:p>
        </w:tc>
      </w:tr>
      <w:tr>
        <w:trPr>
          <w:cantSplit w:val="1"/>
          <w:trHeight w:val="53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1562100</wp:posOffset>
                      </wp:positionH>
                      <wp:positionV relativeFrom="paragraph">
                        <wp:posOffset>127000</wp:posOffset>
                      </wp:positionV>
                      <wp:extent cx="209550" cy="190500"/>
                      <wp:effectExtent b="0" l="0" r="0" t="0"/>
                      <wp:wrapNone/>
                      <wp:docPr id="8" name=""/>
                      <a:graphic>
                        <a:graphicData uri="http://schemas.microsoft.com/office/word/2010/wordprocessingShape">
                          <wps:wsp>
                            <wps:cNvSpPr/>
                            <wps:cNvPr id="3" name="Shape 3"/>
                            <wps:spPr>
                              <a:xfrm>
                                <a:off x="5245988" y="3689513"/>
                                <a:ext cx="200025" cy="1809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1562100</wp:posOffset>
                      </wp:positionH>
                      <wp:positionV relativeFrom="paragraph">
                        <wp:posOffset>127000</wp:posOffset>
                      </wp:positionV>
                      <wp:extent cx="209550" cy="190500"/>
                      <wp:effectExtent b="0" l="0" r="0" t="0"/>
                      <wp:wrapNone/>
                      <wp:docPr id="8"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09550" cy="190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4495800</wp:posOffset>
                      </wp:positionH>
                      <wp:positionV relativeFrom="paragraph">
                        <wp:posOffset>139700</wp:posOffset>
                      </wp:positionV>
                      <wp:extent cx="209550" cy="190500"/>
                      <wp:effectExtent b="0" l="0" r="0" t="0"/>
                      <wp:wrapNone/>
                      <wp:docPr id="7" name=""/>
                      <a:graphic>
                        <a:graphicData uri="http://schemas.microsoft.com/office/word/2010/wordprocessingShape">
                          <wps:wsp>
                            <wps:cNvSpPr/>
                            <wps:cNvPr id="2" name="Shape 2"/>
                            <wps:spPr>
                              <a:xfrm>
                                <a:off x="5245988" y="3689513"/>
                                <a:ext cx="200025" cy="1809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4495800</wp:posOffset>
                      </wp:positionH>
                      <wp:positionV relativeFrom="paragraph">
                        <wp:posOffset>139700</wp:posOffset>
                      </wp:positionV>
                      <wp:extent cx="209550" cy="190500"/>
                      <wp:effectExtent b="0" l="0" r="0" t="0"/>
                      <wp:wrapNone/>
                      <wp:docPr id="7"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09550" cy="190500"/>
                              </a:xfrm>
                              <a:prstGeom prst="rect"/>
                              <a:ln/>
                            </pic:spPr>
                          </pic:pic>
                        </a:graphicData>
                      </a:graphic>
                    </wp:anchor>
                  </w:drawing>
                </mc:Fallback>
              </mc:AlternateConten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INFORME FINAL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Númer</w:t>
            </w:r>
            <w:r w:rsidDel="00000000" w:rsidR="00000000" w:rsidRPr="00000000">
              <w:rPr>
                <w:rFonts w:ascii="Arial" w:cs="Arial" w:eastAsia="Arial" w:hAnsi="Arial"/>
                <w:sz w:val="24"/>
                <w:szCs w:val="24"/>
                <w:rtl w:val="0"/>
              </w:rPr>
              <w:t xml:space="preserve">o 2</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1"/>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ASPECTOS GENERALES DE CONTRATO Y SU EJECUCIÓN</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4143.010.26.1.0935.2025</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Adriana Guarnizo Novoa</w:t>
            </w:r>
            <w:r w:rsidDel="00000000" w:rsidR="00000000" w:rsidRPr="00000000">
              <w:rPr>
                <w:rtl w:val="0"/>
              </w:rPr>
            </w:r>
          </w:p>
        </w:tc>
      </w:tr>
      <w:tr>
        <w:trPr>
          <w:cantSplit w:val="1"/>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31.943.292</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w:t>
            </w:r>
            <w:r w:rsidDel="00000000" w:rsidR="00000000" w:rsidRPr="00000000">
              <w:rPr>
                <w:rFonts w:ascii="Arial" w:cs="Arial" w:eastAsia="Arial" w:hAnsi="Arial"/>
                <w:b w:val="1"/>
                <w:sz w:val="24"/>
                <w:szCs w:val="24"/>
                <w:rtl w:val="0"/>
              </w:rPr>
              <w:t xml:space="preserve">Mónica López Castro</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Organismo: </w:t>
            </w:r>
            <w:r w:rsidDel="00000000" w:rsidR="00000000" w:rsidRPr="00000000">
              <w:rPr>
                <w:rFonts w:ascii="Arial" w:cs="Arial" w:eastAsia="Arial" w:hAnsi="Arial"/>
                <w:b w:val="1"/>
                <w:sz w:val="24"/>
                <w:szCs w:val="24"/>
                <w:rtl w:val="0"/>
              </w:rPr>
              <w:t xml:space="preserve">Secretaría de Educación</w:t>
            </w:r>
            <w:r w:rsidDel="00000000" w:rsidR="00000000" w:rsidRPr="00000000">
              <w:rPr>
                <w:rtl w:val="0"/>
              </w:rPr>
            </w:r>
          </w:p>
        </w:tc>
      </w:tr>
      <w:tr>
        <w:trPr>
          <w:cantSplit w:val="0"/>
          <w:trHeight w:val="641"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profesionales para la Secretaría de Educación del Distrito Especial de Santiago de Cali.</w:t>
            </w:r>
            <w:r w:rsidDel="00000000" w:rsidR="00000000" w:rsidRPr="00000000">
              <w:rPr>
                <w:rtl w:val="0"/>
              </w:rPr>
            </w:r>
          </w:p>
        </w:tc>
      </w:tr>
      <w:tr>
        <w:trPr>
          <w:cantSplit w:val="0"/>
          <w:trHeight w:val="424"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JURÍDICO</w:t>
            </w:r>
          </w:p>
        </w:tc>
      </w:tr>
      <w:tr>
        <w:trPr>
          <w:cantSplit w:val="0"/>
          <w:trHeight w:val="424"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tc>
      </w:tr>
      <w:tr>
        <w:trPr>
          <w:cantSplit w:val="0"/>
          <w:trHeight w:val="15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20 de mayo del 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15 de julio del 2025</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Modificación (es) al contrato: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CONTABLE Y FINANCIERO</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inicial del contrato: Diez millones ochocientos noventa mil pesos m/cte. ($10.890.000).</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4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5"/>
              <w:gridCol w:w="850"/>
              <w:gridCol w:w="914"/>
              <w:tblGridChange w:id="0">
                <w:tblGrid>
                  <w:gridCol w:w="7725"/>
                  <w:gridCol w:w="850"/>
                  <w:gridCol w:w="914"/>
                </w:tblGrid>
              </w:tblGridChange>
            </w:tblGrid>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blHeader w:val="0"/>
              </w:trPr>
              <w:tc>
                <w:tcPr/>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r>
              <w:trPr>
                <w:cantSplit w:val="0"/>
                <w:tblHeader w:val="0"/>
              </w:trPr>
              <w:tc>
                <w:tcPr/>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92"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w:t>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tbl>
            <w:tblPr>
              <w:tblStyle w:val="Table3"/>
              <w:tblW w:w="9363.0" w:type="dxa"/>
              <w:jc w:val="left"/>
              <w:tblLayout w:type="fixed"/>
              <w:tblLook w:val="0000"/>
            </w:tblPr>
            <w:tblGrid>
              <w:gridCol w:w="2480"/>
              <w:gridCol w:w="2410"/>
              <w:gridCol w:w="2409"/>
              <w:gridCol w:w="2064"/>
              <w:tblGridChange w:id="0">
                <w:tblGrid>
                  <w:gridCol w:w="2480"/>
                  <w:gridCol w:w="2410"/>
                  <w:gridCol w:w="2409"/>
                  <w:gridCol w:w="2064"/>
                </w:tblGrid>
              </w:tblGridChange>
            </w:tblGrid>
            <w:tr>
              <w:trPr>
                <w:cantSplit w:val="0"/>
                <w:trHeight w:val="45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$10.890.000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$5.445.000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$5.445.000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$0</w:t>
                  </w:r>
                  <w:r w:rsidDel="00000000" w:rsidR="00000000" w:rsidRPr="00000000">
                    <w:rPr>
                      <w:rtl w:val="0"/>
                    </w:rPr>
                  </w:r>
                </w:p>
              </w:tc>
            </w:tr>
          </w:tbl>
          <w:p w:rsidR="00000000" w:rsidDel="00000000" w:rsidP="00000000" w:rsidRDefault="00000000" w:rsidRPr="00000000" w14:paraId="0000004C">
            <w:pPr>
              <w:rPr>
                <w:rFonts w:ascii="Arial" w:cs="Arial" w:eastAsia="Arial" w:hAnsi="Arial"/>
                <w:sz w:val="10"/>
                <w:szCs w:val="10"/>
              </w:rPr>
            </w:pPr>
            <w:r w:rsidDel="00000000" w:rsidR="00000000" w:rsidRPr="00000000">
              <w:rPr>
                <w:rtl w:val="0"/>
              </w:rPr>
            </w:r>
          </w:p>
          <w:p w:rsidR="00000000" w:rsidDel="00000000" w:rsidP="00000000" w:rsidRDefault="00000000" w:rsidRPr="00000000" w14:paraId="0000004D">
            <w:pPr>
              <w:jc w:val="both"/>
              <w:rPr>
                <w:rFonts w:ascii="Arial" w:cs="Arial" w:eastAsia="Arial" w:hAnsi="Arial"/>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F">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50">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paso de seguridad social</w:t>
            </w:r>
          </w:p>
          <w:p w:rsidR="00000000" w:rsidDel="00000000" w:rsidP="00000000" w:rsidRDefault="00000000" w:rsidRPr="00000000" w14:paraId="00000051">
            <w:pPr>
              <w:rPr>
                <w:rFonts w:ascii="Arial" w:cs="Arial" w:eastAsia="Arial" w:hAnsi="Arial"/>
                <w:sz w:val="24"/>
                <w:szCs w:val="24"/>
              </w:rPr>
            </w:pPr>
            <w:r w:rsidDel="00000000" w:rsidR="00000000" w:rsidRPr="00000000">
              <w:rPr>
                <w:rtl w:val="0"/>
              </w:rPr>
            </w:r>
          </w:p>
          <w:tbl>
            <w:tblPr>
              <w:tblStyle w:val="Table4"/>
              <w:tblW w:w="94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22"/>
              <w:gridCol w:w="6867"/>
              <w:tblGridChange w:id="0">
                <w:tblGrid>
                  <w:gridCol w:w="2622"/>
                  <w:gridCol w:w="6867"/>
                </w:tblGrid>
              </w:tblGridChange>
            </w:tblGrid>
            <w:tr>
              <w:trPr>
                <w:cantSplit w:val="0"/>
                <w:tblHeader w:val="0"/>
              </w:trPr>
              <w:tc>
                <w:tcPr/>
                <w:p w:rsidR="00000000" w:rsidDel="00000000" w:rsidP="00000000" w:rsidRDefault="00000000" w:rsidRPr="00000000" w14:paraId="00000052">
                  <w:pP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p w:rsidR="00000000" w:rsidDel="00000000" w:rsidP="00000000" w:rsidRDefault="00000000" w:rsidRPr="00000000" w14:paraId="00000053">
                  <w:pP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blHeader w:val="0"/>
              </w:trPr>
              <w:tc>
                <w:tcPr/>
                <w:p w:rsidR="00000000" w:rsidDel="00000000" w:rsidP="00000000" w:rsidRDefault="00000000" w:rsidRPr="00000000" w14:paraId="00000054">
                  <w:pPr>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w:t>
                  </w:r>
                </w:p>
                <w:p w:rsidR="00000000" w:rsidDel="00000000" w:rsidP="00000000" w:rsidRDefault="00000000" w:rsidRPr="00000000" w14:paraId="00000055">
                  <w:pPr>
                    <w:rPr>
                      <w:rFonts w:ascii="Arial" w:cs="Arial" w:eastAsia="Arial" w:hAnsi="Arial"/>
                      <w:sz w:val="24"/>
                      <w:szCs w:val="24"/>
                    </w:rPr>
                  </w:pPr>
                  <w:r w:rsidDel="00000000" w:rsidR="00000000" w:rsidRPr="00000000">
                    <w:rPr>
                      <w:rFonts w:ascii="Arial" w:cs="Arial" w:eastAsia="Arial" w:hAnsi="Arial"/>
                      <w:sz w:val="24"/>
                      <w:szCs w:val="24"/>
                      <w:rtl w:val="0"/>
                    </w:rPr>
                    <w:t xml:space="preserve">Pensiones y Riesgos</w:t>
                  </w:r>
                </w:p>
                <w:p w:rsidR="00000000" w:rsidDel="00000000" w:rsidP="00000000" w:rsidRDefault="00000000" w:rsidRPr="00000000" w14:paraId="00000056">
                  <w:pPr>
                    <w:rPr>
                      <w:rFonts w:ascii="Arial" w:cs="Arial" w:eastAsia="Arial" w:hAnsi="Arial"/>
                      <w:sz w:val="24"/>
                      <w:szCs w:val="24"/>
                    </w:rPr>
                  </w:pPr>
                  <w:r w:rsidDel="00000000" w:rsidR="00000000" w:rsidRPr="00000000">
                    <w:rPr>
                      <w:rFonts w:ascii="Arial" w:cs="Arial" w:eastAsia="Arial" w:hAnsi="Arial"/>
                      <w:sz w:val="24"/>
                      <w:szCs w:val="24"/>
                      <w:rtl w:val="0"/>
                    </w:rPr>
                    <w:t xml:space="preserve">Laborales</w:t>
                  </w:r>
                </w:p>
              </w:tc>
              <w:tc>
                <w:tcPr/>
                <w:p w:rsidR="00000000" w:rsidDel="00000000" w:rsidP="00000000" w:rsidRDefault="00000000" w:rsidRPr="00000000" w14:paraId="00000057">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7979277002 - 7979281107 -7979480908 - 7979883603. </w:t>
                  </w:r>
                </w:p>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1628535070 - 1628565385 -  1631024990 -  1637754954.</w:t>
                  </w:r>
                </w:p>
                <w:p w:rsidR="00000000" w:rsidDel="00000000" w:rsidP="00000000" w:rsidRDefault="00000000" w:rsidRPr="00000000" w14:paraId="00000059">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SOI</w:t>
                  </w:r>
                </w:p>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julio 16 de 2025  - julio 18 de 2025</w:t>
                  </w:r>
                </w:p>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Mayo – julio 2025</w:t>
                  </w:r>
                </w:p>
              </w:tc>
            </w:tr>
          </w:tbl>
          <w:p w:rsidR="00000000" w:rsidDel="00000000" w:rsidP="00000000" w:rsidRDefault="00000000" w:rsidRPr="00000000" w14:paraId="0000005C">
            <w:pPr>
              <w:jc w:val="both"/>
              <w:rPr>
                <w:rFonts w:ascii="Arial" w:cs="Arial" w:eastAsia="Arial" w:hAnsi="Arial"/>
                <w:i w:val="1"/>
                <w:sz w:val="24"/>
                <w:szCs w:val="24"/>
              </w:rPr>
            </w:pPr>
            <w:r w:rsidDel="00000000" w:rsidR="00000000" w:rsidRPr="00000000">
              <w:rPr>
                <w:rtl w:val="0"/>
              </w:rPr>
            </w:r>
          </w:p>
        </w:tc>
      </w:tr>
      <w:tr>
        <w:trPr>
          <w:cantSplit w:val="0"/>
          <w:trHeight w:val="606"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contable y financiero: </w:t>
            </w:r>
            <w:r w:rsidDel="00000000" w:rsidR="00000000" w:rsidRPr="00000000">
              <w:rPr>
                <w:rFonts w:ascii="Arial" w:cs="Arial" w:eastAsia="Arial" w:hAnsi="Arial"/>
                <w:sz w:val="24"/>
                <w:szCs w:val="24"/>
                <w:rtl w:val="0"/>
              </w:rPr>
              <w:t xml:space="preserve">N/A</w:t>
            </w:r>
            <w:r w:rsidDel="00000000" w:rsidR="00000000" w:rsidRPr="00000000">
              <w:rPr>
                <w:rtl w:val="0"/>
              </w:rPr>
            </w:r>
          </w:p>
        </w:tc>
      </w:tr>
      <w:tr>
        <w:trPr>
          <w:cantSplit w:val="0"/>
          <w:trHeight w:val="491"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TÉCNICO</w:t>
            </w:r>
          </w:p>
        </w:tc>
      </w:tr>
      <w:tr>
        <w:trPr>
          <w:cantSplit w:val="0"/>
          <w:trHeight w:val="22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 Certifico que la contratista ADRIANA GUARNIZO NOVOA, cumplió con el objeto del contrato No. 4143.010.26.1.0935.2025 correspondiente a la </w:t>
            </w:r>
            <w:r w:rsidDel="00000000" w:rsidR="00000000" w:rsidRPr="00000000">
              <w:rPr>
                <w:rFonts w:ascii="Arial" w:cs="Arial" w:eastAsia="Arial" w:hAnsi="Arial"/>
                <w:sz w:val="24"/>
                <w:szCs w:val="24"/>
                <w:rtl w:val="0"/>
              </w:rPr>
              <w:t xml:space="preserve"> SEGUNDA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para lo cual realizó las siguientes actividades:</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Apoyar la Red de emprendimiento de Santiago de Cali, estableciendo articulaciones con organismos estatales y privados, que fortalezcan la inclusión laboral de los y las jóvenes.</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Acompañó la reunión con el rector y los docentes de la Institución Educativa Oficial (IEO) Siete de Agosto, para realizar el taller sobre el perfil del estudiante de esta institución y establecer los énfasis a realizar en el acompañamiento curricular y se identificó las habilidades o talentos relacionados con el perfil del emprendedor, igualmente, se estableció la necesidad de apoyar los procesos de proyecto de vida donde se incluye la línea de empleabilidad y emprendimiento como apuestas para el joven de grado once (11).</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4143.06014.74.711   Reunión con IEO siete de agosto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hyperlink r:id="rId8">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Gestionó y realizó reunión con las líderes de emprendimiento de SENA Pondaje, donde se continuó la articulación realizada con el SENA, identificando la posibilidad de establecer una mesa de articulación con las demás áreas del SENA para revisar las opciones de formación en emprendimiento y plan de negocios para los estudiantes de las instituciones educativas públicas que redunde en el fortalecimiento de la </w:t>
            </w:r>
            <w:r w:rsidDel="00000000" w:rsidR="00000000" w:rsidRPr="00000000">
              <w:rPr>
                <w:rFonts w:ascii="Arial" w:cs="Arial" w:eastAsia="Arial" w:hAnsi="Arial"/>
                <w:sz w:val="24"/>
                <w:szCs w:val="24"/>
                <w:rtl w:val="0"/>
              </w:rPr>
              <w:t xml:space="preserve">cátedra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emprendimiento en las mismas.</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yopeh1t0c2u"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presentó informe “2025.06.18. Informe reunión articulación Sena pondaje” como evidencia de esta actividad y fue cargado en el drive institucional asignado en el siguiente link.</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9">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Dando cumplimiento a los compromisos de la reunión inicial realizada el día 3 de junio de 2025, con la IEO Antonio José Camacho se realizó reunión con Claudia Erika Agudelo, encargada del programa de emprendimiento de dicha institución educativa el día 20 de junio de 2025 y se  revisaron  las actividades que actualmente ejecuta esta institución, así mismo,  se propuso la posibilidad de hacer una visita al centro de tecnología de la empresa Help People con los estudiantes de último grado. Esta actividad se planteó realizarla cuando los estudiantes entren de vacaciones.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4143.06014.74.740   Reunión con la IEO Antonio José Camacho   </w:t>
            </w:r>
            <w:hyperlink r:id="rId10">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Gestionó y realizó reunión con la líder las Tics de la empresa Help People, con el objetivo de revisar la oferta en temas de tecnología como procesos de formación y experiencias para los estudiantes de las diferentes Instituciones Educativas Oficiales (IEO), por medio del centro de la tecnología que tiene la empresa en la ciudad de Yumbo.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esta reunión </w:t>
            </w:r>
            <w:r w:rsidDel="00000000" w:rsidR="00000000" w:rsidRPr="00000000">
              <w:rPr>
                <w:rFonts w:ascii="Arial" w:cs="Arial" w:eastAsia="Arial" w:hAnsi="Arial"/>
                <w:sz w:val="24"/>
                <w:szCs w:val="24"/>
                <w:rtl w:val="0"/>
              </w:rPr>
              <w:t xml:space="preserve">acompañó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líder del procedimiento de Articulación de Niveles Myriam Vásquez, de fortalecimiento de la calidad educativa. Como paso a seguir se estableció el compromiso de enviar una carta para la </w:t>
            </w:r>
            <w:r w:rsidDel="00000000" w:rsidR="00000000" w:rsidRPr="00000000">
              <w:rPr>
                <w:rFonts w:ascii="Arial" w:cs="Arial" w:eastAsia="Arial" w:hAnsi="Arial"/>
                <w:sz w:val="24"/>
                <w:szCs w:val="24"/>
                <w:rtl w:val="0"/>
              </w:rPr>
              <w:t xml:space="preserve">Subsecretaría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Calidad, permitiendo formalizar la oferta de 200 becas para los estudiantes, en temas como: ciberseguridad, inteligencia artificial y calidad de software, tres áreas estratégicas de alto impacto para el desarrollo tecnológico y económico del país.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4143.060.14.74.738    Reunión con la empresa Help People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 5: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Participó en reunión de socialización de los resultados del Plan de Asistencia Técnica (PAT) realizado a la institución educativa Golondrinas, en articulación con la profesional de la Universidad del Valle, en el marco del desarrollo del proyecto de inversión Ecosistema de Innovación Educativa, convenio de asociación entre está institución y la Subsecretaria de Calidad. Igualmente, se dio a conocer a la profesional, los avances realizados y compromisos establecidos con el rector José Aníbal Morales de la IEO.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presentó informe “2025.06.24. Informe reunión con IEO golondrinas - asistencia técnica” como evidencia de esta actividad y fue cargado en el drive institucional asignado en el siguiente link.</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ff"/>
                <w:sz w:val="24"/>
                <w:szCs w:val="24"/>
                <w:u w:val="single"/>
                <w:shd w:fill="auto" w:val="clear"/>
                <w:vertAlign w:val="baseline"/>
              </w:rPr>
            </w:pPr>
            <w:hyperlink r:id="rId12">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6: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Gestionó y </w:t>
            </w:r>
            <w:r w:rsidDel="00000000" w:rsidR="00000000" w:rsidRPr="00000000">
              <w:rPr>
                <w:rFonts w:ascii="Arial" w:cs="Arial" w:eastAsia="Arial" w:hAnsi="Arial"/>
                <w:sz w:val="24"/>
                <w:szCs w:val="24"/>
                <w:rtl w:val="0"/>
              </w:rPr>
              <w:t xml:space="preserve">realizó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reunión con el director Christian Burbano de la ONG de Cooperación Internacional HIAS, para revisar y articular la oferta de esta organización que pueda fortalecer los procesos educativos de las Instituciones educativas oficiales (IEO). El director informó que se tenían procesos en emprendimiento y empleabilidad donde se incluían jóvenes migrantes en especial venezolanos y de la ciudad, con procesos de formación empresarial y capital semilla para la puesta en marcha de sus ideas de negocio. Estos procesos se estaban ejecutando por medio de dos proyectos de cooperación internacional con recursos de USAID, pero lastimosamente por la situación presentada estos dos proyectos fueron  cerrados.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Así mismo, la contratista suministró información sobre el trabajo adelantado por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Educación con respecto a estos temas con los estudiantes de las                   instituciones educativas oficiales.   La ONG revisará a futuro la pertinencia con un            proyecto que está en proceso de evaluación, que de ser aprobado podría articularse como una oferta para la población objeto.</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4143.060.14.74.717    Reunión con la Ong de Cooperación Internacional HIAS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r:id="rId13">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Participar en mesas intersectoriales a favor del empleo y emprendimiento de la ciudad, para articular la propuesta formativa en la media a la red de ciudad de empleo y empleabilidad en relación con los clústeres regionales.</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Gestionó y realizó reunión con el Gerente de Desarrollo Empresarial de la Cámara de Comercio de Cali, solicitando información para poder articular el proceso de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la Red Regional de Competitividad. En dicha reunión se informó, que esta red, está a cargo de la Gobernación del Valle y ellos apoyan la convocatoria, pero que no se han vuelto a reunir. Se revisó </w:t>
            </w:r>
            <w:r w:rsidDel="00000000" w:rsidR="00000000" w:rsidRPr="00000000">
              <w:rPr>
                <w:rFonts w:ascii="Arial" w:cs="Arial" w:eastAsia="Arial" w:hAnsi="Arial"/>
                <w:sz w:val="24"/>
                <w:szCs w:val="24"/>
                <w:rtl w:val="0"/>
              </w:rPr>
              <w:t xml:space="preserve">qué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actividades podrían trabajarse con la Cámara de Comercio de Cali, para fortalecer el proceso de emprendimiento y empleabilidad para los estudiantes de las IEO, de la media en particular. Para ello se propuso poder realizar una charla sobre competitividad con los rectores de estas IEO abordando el tema de los clústeres regionales. Igualmente, se informó sobre la actividad de Mesas Técnicas por Campos de Formación en Tics, Industria y Comercio, que se adelantarán con la Universidad del Valle, como parte de la actividad liderada por el procedimiento de Articulación de Niveles, en el proyecto de inversión de Ecosistema de Innovación Educativa.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4143.060.14.74.780 Reunión con la Cámara de Comercio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4">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Acompañó a la </w:t>
            </w:r>
            <w:r w:rsidDel="00000000" w:rsidR="00000000" w:rsidRPr="00000000">
              <w:rPr>
                <w:rFonts w:ascii="Arial" w:cs="Arial" w:eastAsia="Arial" w:hAnsi="Arial"/>
                <w:sz w:val="24"/>
                <w:szCs w:val="24"/>
                <w:rtl w:val="0"/>
              </w:rPr>
              <w:t xml:space="preserve">Subsecretaría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Calidad Mónica López a la Mesa Sectorial de competitividad donde participaron actores del sector público, privado, ONG y la academia, para revisar los avances sobre los procesos de empleabilidad y emprendimiento en los jóvenes de la educación media, la transición a la educación superior y la brecha que existe entre la educación media y a la educación superior. Así mismo, se realizó un análisis sobre los indicadores de desempleo juvenil en Cali y las ciudades principales juvenil, la cobertura en formación técnica y tecnológica, siendo Cali una de las más bajas, los resultados en las pruebas del saber, entre otros. Estos indicadores permitieron establecer unas problemáticas con respecto a: desajuste entre la educación y la demanda laboral, falta de habilidades para el empleo en los jóvenes entre otros.  Como conclusión se esbozó un panorama preocupante con los jóvenes en temas de transición a la educación superior, oportunidades laborales y empresariales.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Como evidencia se presentó un informe de esta actividad, “2025.06.25 informe taller de integración - sede Comfenalco” la cual fue cargada en el drive institucional asignado en el siguiente link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5">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Realizó reunión con los líderes de las dos Subsecretarias de Desarrollo Económico: Comercio Colaborativo y Cadena de Valor, para continuar la revisión de la oferta actual en temas como: emprendimiento, empleo y empleabilidad, con el objetivo de articularla a la formación de jóvenes en la educación media de las IEO de Santiago de Cali. Se abordaron los siguientes temas: Programa Mi Cali Beca, en el cual se tiene la oferta de Praxis, la cual es para formación técnica: presencial y la formación complementaria: virtual.</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solicitó al líder de empleabilidad de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Desarrollo Económico Juan Gabriel Bustamante, y al líder de emprendimiento Orlando Triviño, revisar uno de los requisitos que tienen para participar en los proyectos de formación, empleabilidad y emprendimiento como mi Cali Beca, formación técnica y empleabilidad, proyectos de presupuesto participativo, entre otros,  relacionado con la edad, el cual es “mayores de 18 años” </w:t>
            </w:r>
            <w:r w:rsidDel="00000000" w:rsidR="00000000" w:rsidRPr="00000000">
              <w:rPr>
                <w:rFonts w:ascii="Arial" w:cs="Arial" w:eastAsia="Arial" w:hAnsi="Arial"/>
                <w:sz w:val="24"/>
                <w:szCs w:val="24"/>
                <w:rtl w:val="0"/>
              </w:rPr>
              <w:t xml:space="preserve">flexibilizando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“mayores de 16 años”, con el objetivo de que los jóvenes estudiantes en edades entre los 16 y 17 años, de las instituciones educativas de la educación media de los grados diez (10) y once (11) puedan participar. Esta solicitud los </w:t>
            </w:r>
            <w:r w:rsidDel="00000000" w:rsidR="00000000" w:rsidRPr="00000000">
              <w:rPr>
                <w:rFonts w:ascii="Arial" w:cs="Arial" w:eastAsia="Arial" w:hAnsi="Arial"/>
                <w:sz w:val="24"/>
                <w:szCs w:val="24"/>
                <w:rtl w:val="0"/>
              </w:rPr>
              <w:t xml:space="preserve">líderes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informaron la elevaran a los Subsecretarios para su aprobación.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respecto a los Proyectos de Emprendimiento rurales, se solicitó también que los estudiantes de educación media de los grados diez (10) y once (11) de las IEO de los corregimientos de la ciudad de Cali, puedan participar en el proyecto de mercados campesinos. con los estudiantes emprendedores que tengan productos y negocios en marcha, para que ganen experiencia en los procesos de comercialización.</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respecto a esta solicitud, el líder de emprendimiento consultará la solicitud a la </w:t>
            </w:r>
            <w:r w:rsidDel="00000000" w:rsidR="00000000" w:rsidRPr="00000000">
              <w:rPr>
                <w:rFonts w:ascii="Arial" w:cs="Arial" w:eastAsia="Arial" w:hAnsi="Arial"/>
                <w:sz w:val="24"/>
                <w:szCs w:val="24"/>
                <w:rtl w:val="0"/>
              </w:rPr>
              <w:t xml:space="preserve">Subsecretaría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Comercio Colaborativo, dado que este proyecto saldría en el mes de agosto de 2025.</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reitera la necesidad de conocer la oferta que existe en presupuesto participativo. El líder </w:t>
            </w:r>
            <w:r w:rsidDel="00000000" w:rsidR="00000000" w:rsidRPr="00000000">
              <w:rPr>
                <w:rFonts w:ascii="Arial" w:cs="Arial" w:eastAsia="Arial" w:hAnsi="Arial"/>
                <w:sz w:val="24"/>
                <w:szCs w:val="24"/>
                <w:rtl w:val="0"/>
              </w:rPr>
              <w:t xml:space="preserve">quedó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 el compromiso de enviarla</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Dado los diferentes temas que se tienen con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Desarrollo Económico, se estableció la necesidad de tener una mesa técnica periódica con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Educación para abordar estos temas, donde se inviten nuevos actores aportantes de oferta para la educación media.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4143.060.14.74.806   Reunión con Secretaria de Desarrollo Económico.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6">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10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Participó en reuniones del equipo de Articulación de Niveles, para armonizar las actividades de la modelación del procedimiento, con los frentes delimitados en términos del Ecosistema de Innovación de la Media, para el ajuste y prospectiva del Plan de Acción de todo el procedimiento. En el marco de estas reuniones se revisó la rejilla PEI, quien nutre y delimitó las categorías de la rejilla del procedimiento de Articulación de Niveles. Esta revisión se adelantó en consideración de los tres frentes claves del ecosistema: educación, empleo y emprendimiento. Igualmente, en el marco de estas reuniones, se adelantó la revisión de la encuesta de “Caracterización de la Educación Media”, para realizar la inclusión de nuevas preguntas relacionadas con estos temas emprendimiento y empleabilidad.</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actas producidas y sistematizadas fueron:</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4143.060.14.74.798   Reunión de equipo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hyperlink r:id="rId1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https://docs.google.com/document/d/1d1ooopd_B9V5r5LEYGW6rv2IvVfC6G39/edit?usp=sharing&amp;ouid=108612893278112391561&amp;rtpof=true&amp;sd=true</w:t>
              </w:r>
            </w:hyperlink>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4143.060.14.74.804   Reunión de equipo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hyperlink r:id="rId1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https://docs.google.com/document/d/18JYkjcdonKtQ7-jcdNNfzedoNlWpLAZh/edit?usp=sharing&amp;ouid=108612893278112391561&amp;rtpof=true&amp;sd=true</w:t>
              </w:r>
            </w:hyperlink>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11: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Participó en la reunión con la Universidad del Valle, para organizar la metodología de trabajo de la Mesa técnica de TICS, a realizarse el 29 de julio de 2025. En el marco de dicha reunión se establecieron: Los actores públicos y privados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 </w:t>
            </w:r>
            <w:r w:rsidDel="00000000" w:rsidR="00000000" w:rsidRPr="00000000">
              <w:rPr>
                <w:rFonts w:ascii="Arial" w:cs="Arial" w:eastAsia="Arial" w:hAnsi="Arial"/>
                <w:sz w:val="24"/>
                <w:szCs w:val="24"/>
                <w:rtl w:val="0"/>
              </w:rPr>
              <w:t xml:space="preserve">participan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el evento, las instituciones educativas que </w:t>
            </w:r>
            <w:r w:rsidDel="00000000" w:rsidR="00000000" w:rsidRPr="00000000">
              <w:rPr>
                <w:rFonts w:ascii="Arial" w:cs="Arial" w:eastAsia="Arial" w:hAnsi="Arial"/>
                <w:sz w:val="24"/>
                <w:szCs w:val="24"/>
                <w:rtl w:val="0"/>
              </w:rPr>
              <w:t xml:space="preserve">participan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organización de la agenda del evento, entre otros.  Igualmente </w:t>
            </w:r>
            <w:r w:rsidDel="00000000" w:rsidR="00000000" w:rsidRPr="00000000">
              <w:rPr>
                <w:rFonts w:ascii="Arial" w:cs="Arial" w:eastAsia="Arial" w:hAnsi="Arial"/>
                <w:sz w:val="24"/>
                <w:szCs w:val="24"/>
                <w:rtl w:val="0"/>
              </w:rPr>
              <w:t xml:space="preserve">apoyó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consecución de información sobre los actores a participar en la primera mesa técnica.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evidencia de esta actividad fue un informe de la actividad, “2025.07.14. Informe reunión con Universidad del Valle - mesas técnicas”, la cual fue cargada en el drive institucional asignado en el siguiente link.</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9">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Co-liderar en articulación con observatorios y plataformas juveniles de ciudad, la producción de data y gestión del conocimiento que esté a favor del tránsito a la educación superior, el empleo y el emprendimiento.</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12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Elaboró informe sobre datos e información relevante con respecto al tránsito de la educación superior, el empleo y el emprendimiento de la ciudad de Cali.</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presentó informe como evidencia</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esta actividad “Informe data y gestión del conocimiento” la cual fue cargada en el drive institucional asignado en el siguiente link.</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ff"/>
                <w:sz w:val="24"/>
                <w:szCs w:val="24"/>
                <w:u w:val="single"/>
                <w:shd w:fill="auto" w:val="clear"/>
                <w:vertAlign w:val="baseline"/>
              </w:rPr>
            </w:pPr>
            <w:hyperlink r:id="rId20">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Participó en el taller realizado por la </w:t>
            </w:r>
            <w:r w:rsidDel="00000000" w:rsidR="00000000" w:rsidRPr="00000000">
              <w:rPr>
                <w:rFonts w:ascii="Arial" w:cs="Arial" w:eastAsia="Arial" w:hAnsi="Arial"/>
                <w:sz w:val="24"/>
                <w:szCs w:val="24"/>
                <w:rtl w:val="0"/>
              </w:rPr>
              <w:t xml:space="preserve">Subsecretaría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Calidad en Comfenalco. En esta jornada se realizó una actividad para mejorar la integración del equipo de la </w:t>
            </w:r>
            <w:r w:rsidDel="00000000" w:rsidR="00000000" w:rsidRPr="00000000">
              <w:rPr>
                <w:rFonts w:ascii="Arial" w:cs="Arial" w:eastAsia="Arial" w:hAnsi="Arial"/>
                <w:sz w:val="24"/>
                <w:szCs w:val="24"/>
                <w:rtl w:val="0"/>
              </w:rPr>
              <w:t xml:space="preserve">Subsecretaría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Calidad Educativa.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Así mismo, Articulación de niveles, presentó sus actividades y resultados del año 2025, como parte de la actividad conjunta con el equipo de Calidad que tenía como objetivo realizar un puente de articulación de los procesos. </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presentó informe “2025.06.17. Informe reunión con la mesa sectorial de competitividad” como evidencia de esta actividad y fue cargado en el drive institucional asignado en el siguiente link.</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2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14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Realizó</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base de datos, sobre los actores de gremios, empresas del sector privado, de sectores de la industria, tics, comercio y servicio, cajas de compensación familiar, empresas de formación para el trabajo y academia, entre otras.</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evidencia de esta actividad es la realización de una base de datos en una tabla en Excel, la cual fue cargada en el drive institucional asignado en el siguiente link.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4"/>
                <w:szCs w:val="24"/>
                <w:u w:val="none"/>
                <w:shd w:fill="auto" w:val="clear"/>
                <w:vertAlign w:val="baseline"/>
              </w:rPr>
            </w:pPr>
            <w:hyperlink r:id="rId22">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https://docs.google.com/spreadsheets/d/1bc1PVgejW58ovTvFmOgVTx49opaa5gFo/edit?usp=sharing&amp;ouid=108612893278112391561&amp;rtpof=true&amp;sd=true</w:t>
              </w:r>
            </w:hyperlink>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Co-producir material infográfico y plataforma de subcalidad educativa, que visibilice la oferta de clústeres económicos y educativos por zonas o localidades territoriales de Santiago de Cali.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realizó contacto con la Cámara de Comercio, con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Desarrollo Económico para levantar información para la producción de material infográfico sobre los clústeres de ciudad relevantes para las Instituciones educativas.</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evidencia de esta actividad es un documento” Material </w:t>
            </w:r>
            <w:r w:rsidDel="00000000" w:rsidR="00000000" w:rsidRPr="00000000">
              <w:rPr>
                <w:rFonts w:ascii="Arial" w:cs="Arial" w:eastAsia="Arial" w:hAnsi="Arial"/>
                <w:sz w:val="24"/>
                <w:szCs w:val="24"/>
                <w:rtl w:val="0"/>
              </w:rPr>
              <w:t xml:space="preserve">Infográfico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cual fue cargada en el drive institucional asignado en el siguiente link.</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4"/>
                <w:szCs w:val="24"/>
                <w:u w:val="none"/>
                <w:shd w:fill="auto" w:val="clear"/>
                <w:vertAlign w:val="baseline"/>
              </w:rPr>
            </w:pPr>
            <w:hyperlink r:id="rId23">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https://drive.google.com/drive/folders/1lC321bvuGbGm3f--BsjGL0SZwqVosapt?usp=sharing</w:t>
              </w:r>
            </w:hyperlink>
            <w:r w:rsidDel="00000000" w:rsidR="00000000" w:rsidRPr="00000000">
              <w:rPr>
                <w:rtl w:val="0"/>
              </w:rPr>
            </w:r>
          </w:p>
        </w:tc>
      </w:tr>
      <w:tr>
        <w:trPr>
          <w:cantSplit w:val="0"/>
          <w:trHeight w:val="22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w:t>
            </w:r>
            <w:r w:rsidDel="00000000" w:rsidR="00000000" w:rsidRPr="00000000">
              <w:rPr>
                <w:rFonts w:ascii="Arial" w:cs="Arial" w:eastAsia="Arial" w:hAnsi="Arial"/>
                <w:sz w:val="24"/>
                <w:szCs w:val="24"/>
                <w:rtl w:val="0"/>
              </w:rPr>
              <w:t xml:space="preserve">Con la firma del presente informe se deja constancia del recibo a satisfacción por parte de SANTIAGO DE CALI DISTRITO ESPECIAL – SECRETARÍA DE EDUCACIÓN, de los servicios pactados en el contrato No </w:t>
            </w:r>
            <w:r w:rsidDel="00000000" w:rsidR="00000000" w:rsidRPr="00000000">
              <w:rPr>
                <w:rFonts w:ascii="Arial" w:cs="Arial" w:eastAsia="Arial" w:hAnsi="Arial"/>
                <w:b w:val="1"/>
                <w:sz w:val="24"/>
                <w:szCs w:val="24"/>
                <w:rtl w:val="0"/>
              </w:rPr>
              <w:t xml:space="preserve">4143.010.26.1.0935.2025</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0"/>
          <w:trHeight w:val="22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w:t>
            </w:r>
            <w:r w:rsidDel="00000000" w:rsidR="00000000" w:rsidRPr="00000000">
              <w:rPr>
                <w:rFonts w:ascii="Arial" w:cs="Arial" w:eastAsia="Arial" w:hAnsi="Arial"/>
                <w:sz w:val="24"/>
                <w:szCs w:val="24"/>
                <w:rtl w:val="0"/>
              </w:rPr>
              <w:t xml:space="preserve">El contratista Adriana Guarnizo Novoa identificada con la C.C  </w:t>
            </w:r>
            <w:r w:rsidDel="00000000" w:rsidR="00000000" w:rsidRPr="00000000">
              <w:rPr>
                <w:rFonts w:ascii="Arial" w:cs="Arial" w:eastAsia="Arial" w:hAnsi="Arial"/>
                <w:b w:val="1"/>
                <w:sz w:val="24"/>
                <w:szCs w:val="24"/>
                <w:rtl w:val="0"/>
              </w:rPr>
              <w:t xml:space="preserve">31.943.292</w:t>
            </w:r>
            <w:r w:rsidDel="00000000" w:rsidR="00000000" w:rsidRPr="00000000">
              <w:rPr>
                <w:rFonts w:ascii="Arial" w:cs="Arial" w:eastAsia="Arial" w:hAnsi="Arial"/>
                <w:sz w:val="24"/>
                <w:szCs w:val="24"/>
                <w:rtl w:val="0"/>
              </w:rPr>
              <w:t xml:space="preserve"> a la fecha del presente informe no posee a su cargo elementos devolutivos de propiedad del Distrito de Santiago de Cali, entregados por este organismo para el desempeño de sus actividades. Así mismo se encuentra a paz y salvo con el archivo de gestión documental y el sistema de gestión documental.</w:t>
            </w:r>
            <w:r w:rsidDel="00000000" w:rsidR="00000000" w:rsidRPr="00000000">
              <w:rPr>
                <w:rtl w:val="0"/>
              </w:rPr>
            </w:r>
          </w:p>
        </w:tc>
      </w:tr>
      <w:tr>
        <w:trPr>
          <w:cantSplit w:val="0"/>
          <w:trHeight w:val="22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w:t>
            </w:r>
            <w:r w:rsidDel="00000000" w:rsidR="00000000" w:rsidRPr="00000000">
              <w:rPr>
                <w:rFonts w:ascii="Arial" w:cs="Arial" w:eastAsia="Arial" w:hAnsi="Arial"/>
                <w:sz w:val="24"/>
                <w:szCs w:val="24"/>
                <w:rtl w:val="0"/>
              </w:rPr>
              <w:t xml:space="preserve"> Teniendo en cuenta el artículo 3.2.2.1 del Decreto 780 de 2016, se deja la observación que se  realizó el pago adicional del ajuste de la  Seguridad Social  con (24) días de mora.</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0"/>
          <w:trHeight w:val="227"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RECOMENDACIONES PARA EL CONTRATISTA</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rHeight w:val="22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se reportan recomendaciones para este período.</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27"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FIRMAS RESPONSABLES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rHeight w:val="22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MÓNICA LÓPEZ CASTRO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Subsecretaria de Despacho</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Subsecretaría de Calidad Educativa</w:t>
            </w:r>
          </w:p>
        </w:tc>
      </w:tr>
      <w:tr>
        <w:trPr>
          <w:cantSplit w:val="0"/>
          <w:trHeight w:val="22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15/julio/2025</w:t>
            </w:r>
          </w:p>
        </w:tc>
      </w:tr>
    </w:tbl>
    <w:p w:rsidR="00000000" w:rsidDel="00000000" w:rsidP="00000000" w:rsidRDefault="00000000" w:rsidRPr="00000000" w14:paraId="00000108">
      <w:pPr>
        <w:rPr>
          <w:rFonts w:ascii="Arial" w:cs="Arial" w:eastAsia="Arial" w:hAnsi="Arial"/>
          <w:sz w:val="24"/>
          <w:szCs w:val="24"/>
        </w:rPr>
      </w:pPr>
      <w:r w:rsidDel="00000000" w:rsidR="00000000" w:rsidRPr="00000000">
        <w:rPr>
          <w:rtl w:val="0"/>
        </w:rPr>
      </w:r>
    </w:p>
    <w:sectPr>
      <w:headerReference r:id="rId24" w:type="default"/>
      <w:footerReference r:id="rId25" w:type="default"/>
      <w:pgSz w:h="15842" w:w="12242" w:orient="portrait"/>
      <w:pgMar w:bottom="1418" w:top="1418" w:left="1418" w:right="1418" w:header="1134"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Alcalde.</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5"/>
      <w:tblW w:w="949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3969"/>
      <w:gridCol w:w="1418"/>
      <w:gridCol w:w="1276"/>
      <w:tblGridChange w:id="0">
        <w:tblGrid>
          <w:gridCol w:w="2835"/>
          <w:gridCol w:w="3969"/>
          <w:gridCol w:w="1418"/>
          <w:gridCol w:w="1276"/>
        </w:tblGrid>
      </w:tblGridChange>
    </w:tblGrid>
    <w:tr>
      <w:trPr>
        <w:cantSplit w:val="1"/>
        <w:trHeight w:val="841" w:hRule="atLeast"/>
        <w:tblHeader w:val="0"/>
      </w:trPr>
      <w:tc>
        <w:tcPr>
          <w:vMerge w:val="restart"/>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Pr>
            <w:drawing>
              <wp:inline distB="0" distT="0" distL="0" distR="0">
                <wp:extent cx="1080000" cy="831504"/>
                <wp:effectExtent b="0" l="0" r="0" t="0"/>
                <wp:docPr descr="escudo" id="9"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80000" cy="831504"/>
                        </a:xfrm>
                        <a:prstGeom prst="rect"/>
                        <a:ln/>
                      </pic:spPr>
                    </pic:pic>
                  </a:graphicData>
                </a:graphic>
              </wp:inline>
            </w:drawing>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0C">
          <w:pPr>
            <w:tabs>
              <w:tab w:val="center" w:leader="none" w:pos="4320"/>
              <w:tab w:val="right" w:leader="none" w:pos="8640"/>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GESTIÓN JURÍDICO ADMINISTRATIVA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PARCIAL Y/O FINAL DE SUPERVISIÓN</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DE PRESTACIÓN DE SERVICIOS PROFESIONALES Y APOYO A LA GESTIÓN PERSONA NATURAL</w:t>
          </w:r>
          <w:r w:rsidDel="00000000" w:rsidR="00000000" w:rsidRPr="00000000">
            <w:rPr>
              <w:rtl w:val="0"/>
            </w:rPr>
          </w:r>
        </w:p>
      </w:tc>
      <w:tc>
        <w:tcPr>
          <w:gridSpan w:val="2"/>
          <w:vAlign w:val="center"/>
        </w:tcPr>
        <w:p w:rsidR="00000000" w:rsidDel="00000000" w:rsidP="00000000" w:rsidRDefault="00000000" w:rsidRPr="00000000" w14:paraId="0000011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002</w:t>
          </w:r>
        </w:p>
      </w:tc>
    </w:tr>
  </w:tbl>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pPr>
      <w:spacing w:line="480" w:lineRule="auto"/>
    </w:pPr>
    <w:rPr>
      <w:sz w:val="24"/>
      <w:lang w:val="es-CO"/>
    </w:rPr>
  </w:style>
  <w:style w:type="paragraph" w:styleId="Textoindependiente2">
    <w:name w:val="Body Text 2"/>
    <w:basedOn w:val="Normal"/>
    <w:link w:val="Textoindependiente2Car"/>
    <w:pPr>
      <w:spacing w:line="480" w:lineRule="auto"/>
      <w:jc w:val="both"/>
    </w:pPr>
    <w:rPr>
      <w:sz w:val="24"/>
      <w:lang w:val="es-CO"/>
    </w:rPr>
  </w:style>
  <w:style w:type="paragraph" w:styleId="Encabezado">
    <w:name w:val="header"/>
    <w:basedOn w:val="Normal"/>
    <w:uiPriority w:val="99"/>
    <w:pPr>
      <w:tabs>
        <w:tab w:val="center" w:pos="4252"/>
        <w:tab w:val="right" w:pos="8504"/>
      </w:tabs>
    </w:pPr>
  </w:style>
  <w:style w:type="paragraph" w:styleId="Piedepgina">
    <w:name w:val="footer"/>
    <w:basedOn w:val="Normal"/>
    <w:pPr>
      <w:tabs>
        <w:tab w:val="center" w:pos="4252"/>
        <w:tab w:val="right" w:pos="8504"/>
      </w:tabs>
    </w:pPr>
  </w:style>
  <w:style w:type="paragraph" w:styleId="Mapadeldocumento">
    <w:name w:val="Document Map"/>
    <w:basedOn w:val="Normal"/>
    <w:pPr>
      <w:shd w:color="auto" w:fill="000080" w:val="clear"/>
    </w:pPr>
    <w:rPr>
      <w:rFonts w:ascii="Tahoma" w:cs="Tahoma" w:hAnsi="Tahoma"/>
    </w:rPr>
  </w:style>
  <w:style w:type="paragraph" w:styleId="Textodeglobo">
    <w:name w:val="Balloon Text"/>
    <w:basedOn w:val="Normal"/>
    <w:rPr>
      <w:rFonts w:ascii="Tahoma" w:cs="Tahoma" w:hAnsi="Tahoma"/>
      <w:sz w:val="16"/>
      <w:szCs w:val="16"/>
    </w:rPr>
  </w:style>
  <w:style w:type="character" w:styleId="Nmerodepgina">
    <w:name w:val="page number"/>
    <w:basedOn w:val="Fuentedeprrafopredeter"/>
  </w:style>
  <w:style w:type="character" w:styleId="Hipervnculo">
    <w:name w:val="Hyperlink"/>
    <w:rPr>
      <w:color w:val="0000ff"/>
      <w:u w:val="single"/>
    </w:rPr>
  </w:style>
  <w:style w:type="character" w:styleId="PiedepginaCar" w:customStyle="1">
    <w:name w:val="Pie de página Car"/>
    <w:rPr>
      <w:lang w:eastAsia="es-ES"/>
    </w:rPr>
  </w:style>
  <w:style w:type="paragraph" w:styleId="Textonotapie">
    <w:name w:val="footnote text"/>
    <w:basedOn w:val="Normal"/>
  </w:style>
  <w:style w:type="character" w:styleId="TextonotapieCar" w:customStyle="1">
    <w:name w:val="Texto nota pie Car"/>
    <w:rPr>
      <w:lang w:eastAsia="es-ES"/>
    </w:rPr>
  </w:style>
  <w:style w:type="character" w:styleId="Refdenotaalpie">
    <w:name w:val="footnote reference"/>
    <w:rPr>
      <w:position w:val="0"/>
      <w:vertAlign w:val="superscript"/>
    </w:rPr>
  </w:style>
  <w:style w:type="character" w:styleId="EncabezadoCar" w:customStyle="1">
    <w:name w:val="Encabezado Car"/>
    <w:uiPriority w:val="99"/>
    <w:rPr>
      <w:lang w:eastAsia="es-ES"/>
    </w:rPr>
  </w:style>
  <w:style w:type="paragraph" w:styleId="NormalWeb">
    <w:name w:val="Normal (Web)"/>
    <w:basedOn w:val="Normal"/>
    <w:uiPriority w:val="99"/>
    <w:unhideWhenUsed w:val="1"/>
    <w:rsid w:val="00780F5E"/>
    <w:pPr>
      <w:suppressAutoHyphens w:val="0"/>
      <w:autoSpaceDN w:val="1"/>
      <w:spacing w:after="100" w:afterAutospacing="1" w:before="100" w:beforeAutospacing="1"/>
      <w:textAlignment w:val="auto"/>
    </w:pPr>
    <w:rPr>
      <w:rFonts w:eastAsiaTheme="minorEastAsia"/>
      <w:sz w:val="24"/>
      <w:szCs w:val="24"/>
      <w:lang w:eastAsia="es-CO" w:val="es-CO"/>
    </w:rPr>
  </w:style>
  <w:style w:type="character" w:styleId="Refdecomentario">
    <w:name w:val="annotation reference"/>
    <w:basedOn w:val="Fuentedeprrafopredeter"/>
    <w:uiPriority w:val="99"/>
    <w:semiHidden w:val="1"/>
    <w:unhideWhenUsed w:val="1"/>
    <w:rsid w:val="006C4CA9"/>
    <w:rPr>
      <w:sz w:val="16"/>
      <w:szCs w:val="16"/>
    </w:rPr>
  </w:style>
  <w:style w:type="paragraph" w:styleId="Textocomentario">
    <w:name w:val="annotation text"/>
    <w:basedOn w:val="Normal"/>
    <w:link w:val="TextocomentarioCar"/>
    <w:uiPriority w:val="99"/>
    <w:semiHidden w:val="1"/>
    <w:unhideWhenUsed w:val="1"/>
    <w:rsid w:val="006C4CA9"/>
  </w:style>
  <w:style w:type="character" w:styleId="TextocomentarioCar" w:customStyle="1">
    <w:name w:val="Texto comentario Car"/>
    <w:basedOn w:val="Fuentedeprrafopredeter"/>
    <w:link w:val="Textocomentario"/>
    <w:uiPriority w:val="99"/>
    <w:semiHidden w:val="1"/>
    <w:rsid w:val="006C4CA9"/>
  </w:style>
  <w:style w:type="paragraph" w:styleId="Asuntodelcomentario">
    <w:name w:val="annotation subject"/>
    <w:basedOn w:val="Textocomentario"/>
    <w:next w:val="Textocomentario"/>
    <w:link w:val="AsuntodelcomentarioCar"/>
    <w:uiPriority w:val="99"/>
    <w:semiHidden w:val="1"/>
    <w:unhideWhenUsed w:val="1"/>
    <w:rsid w:val="006C4CA9"/>
    <w:rPr>
      <w:b w:val="1"/>
      <w:bCs w:val="1"/>
    </w:rPr>
  </w:style>
  <w:style w:type="character" w:styleId="AsuntodelcomentarioCar" w:customStyle="1">
    <w:name w:val="Asunto del comentario Car"/>
    <w:basedOn w:val="TextocomentarioCar"/>
    <w:link w:val="Asuntodelcomentario"/>
    <w:uiPriority w:val="99"/>
    <w:semiHidden w:val="1"/>
    <w:rsid w:val="006C4CA9"/>
    <w:rPr>
      <w:b w:val="1"/>
      <w:bCs w:val="1"/>
    </w:rPr>
  </w:style>
  <w:style w:type="table" w:styleId="Tablaconcuadrcula">
    <w:name w:val="Table Grid"/>
    <w:basedOn w:val="Tablanormal"/>
    <w:uiPriority w:val="59"/>
    <w:rsid w:val="00693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independiente2Car" w:customStyle="1">
    <w:name w:val="Texto independiente 2 Car"/>
    <w:basedOn w:val="Fuentedeprrafopredeter"/>
    <w:link w:val="Textoindependiente2"/>
    <w:rsid w:val="00B46B8E"/>
    <w:rPr>
      <w:sz w:val="24"/>
      <w:lang w:val="es-CO"/>
    </w:rPr>
  </w:style>
  <w:style w:type="paragraph" w:styleId="Revisin">
    <w:name w:val="Revision"/>
    <w:hidden w:val="1"/>
    <w:uiPriority w:val="99"/>
    <w:semiHidden w:val="1"/>
    <w:rsid w:val="008B7E58"/>
  </w:style>
  <w:style w:type="character" w:styleId="Mencinsinresolver1" w:customStyle="1">
    <w:name w:val="Mención sin resolver1"/>
    <w:basedOn w:val="Fuentedeprrafopredeter"/>
    <w:uiPriority w:val="99"/>
    <w:semiHidden w:val="1"/>
    <w:unhideWhenUsed w:val="1"/>
    <w:rsid w:val="00151FB8"/>
    <w:rPr>
      <w:color w:val="605e5c"/>
      <w:shd w:color="auto" w:fill="e1dfdd" w:val="clear"/>
    </w:rPr>
  </w:style>
  <w:style w:type="paragraph" w:styleId="Sinespaciado">
    <w:name w:val="No Spacing"/>
    <w:uiPriority w:val="1"/>
    <w:qFormat w:val="1"/>
    <w:rsid w:val="007859CA"/>
    <w:pPr>
      <w:suppressAutoHyphens w:val="1"/>
      <w:autoSpaceDN w:val="0"/>
      <w:textAlignment w:val="baseline"/>
    </w:pPr>
  </w:style>
  <w:style w:type="character" w:styleId="Mencinsinresolver2" w:customStyle="1">
    <w:name w:val="Mención sin resolver2"/>
    <w:basedOn w:val="Fuentedeprrafopredeter"/>
    <w:uiPriority w:val="99"/>
    <w:semiHidden w:val="1"/>
    <w:unhideWhenUsed w:val="1"/>
    <w:rsid w:val="00A27168"/>
    <w:rPr>
      <w:color w:val="605e5c"/>
      <w:shd w:color="auto" w:fill="e1dfdd" w:val="clear"/>
    </w:rPr>
  </w:style>
  <w:style w:type="paragraph" w:styleId="Default" w:customStyle="1">
    <w:name w:val="Default"/>
    <w:rsid w:val="00E66878"/>
    <w:pPr>
      <w:autoSpaceDE w:val="0"/>
      <w:autoSpaceDN w:val="0"/>
      <w:adjustRightInd w:val="0"/>
    </w:pPr>
    <w:rPr>
      <w:rFonts w:ascii="Arial" w:cs="Arial" w:hAnsi="Arial"/>
      <w:color w:val="000000"/>
      <w:sz w:val="24"/>
      <w:szCs w:val="24"/>
      <w:lang w:val="es-CO"/>
    </w:rPr>
  </w:style>
  <w:style w:type="character" w:styleId="UnresolvedMention" w:customStyle="1">
    <w:name w:val="Unresolved Mention"/>
    <w:basedOn w:val="Fuentedeprrafopredeter"/>
    <w:uiPriority w:val="99"/>
    <w:semiHidden w:val="1"/>
    <w:unhideWhenUsed w:val="1"/>
    <w:rsid w:val="002349AE"/>
    <w:rPr>
      <w:color w:val="605e5c"/>
      <w:shd w:color="auto" w:fill="e1dfdd" w:val="clear"/>
    </w:rPr>
  </w:style>
  <w:style w:type="character" w:styleId="Hipervnculovisitado">
    <w:name w:val="FollowedHyperlink"/>
    <w:basedOn w:val="Fuentedeprrafopredeter"/>
    <w:uiPriority w:val="99"/>
    <w:semiHidden w:val="1"/>
    <w:unhideWhenUsed w:val="1"/>
    <w:rsid w:val="0084397A"/>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drive/folders/1lC321bvuGbGm3f--BsjGL0SZwqVosapt?usp=sharing" TargetMode="External"/><Relationship Id="rId22" Type="http://schemas.openxmlformats.org/officeDocument/2006/relationships/hyperlink" Target="https://docs.google.com/spreadsheets/d/1bc1PVgejW58ovTvFmOgVTx49opaa5gFo/edit?usp=sharing&amp;ouid=108612893278112391561&amp;rtpof=true&amp;sd=true" TargetMode="External"/><Relationship Id="rId21" Type="http://schemas.openxmlformats.org/officeDocument/2006/relationships/hyperlink" Target="https://drive.google.com/drive/folders/1lC321bvuGbGm3f--BsjGL0SZwqVosapt?usp=sharing" TargetMode="External"/><Relationship Id="rId24" Type="http://schemas.openxmlformats.org/officeDocument/2006/relationships/header" Target="header1.xml"/><Relationship Id="rId23" Type="http://schemas.openxmlformats.org/officeDocument/2006/relationships/hyperlink" Target="https://drive.google.com/drive/folders/1lC321bvuGbGm3f--BsjGL0SZwqVosap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lC321bvuGbGm3f--BsjGL0SZwqVosapt?usp=sharing" TargetMode="External"/><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lC321bvuGbGm3f--BsjGL0SZwqVosapt?usp=sharing" TargetMode="External"/><Relationship Id="rId11" Type="http://schemas.openxmlformats.org/officeDocument/2006/relationships/hyperlink" Target="https://drive.google.com/drive/folders/1lC321bvuGbGm3f--BsjGL0SZwqVosapt?usp=sharing" TargetMode="External"/><Relationship Id="rId10" Type="http://schemas.openxmlformats.org/officeDocument/2006/relationships/hyperlink" Target="https://drive.google.com/drive/folders/1lC321bvuGbGm3f--BsjGL0SZwqVosapt?usp=sharing" TargetMode="External"/><Relationship Id="rId13" Type="http://schemas.openxmlformats.org/officeDocument/2006/relationships/hyperlink" Target="https://drive.google.com/drive/folders/1lC321bvuGbGm3f--BsjGL0SZwqVosapt?usp=sharing" TargetMode="External"/><Relationship Id="rId12" Type="http://schemas.openxmlformats.org/officeDocument/2006/relationships/hyperlink" Target="https://drive.google.com/drive/folders/1lC321bvuGbGm3f--BsjGL0SZwqVosapt?usp=sharing" TargetMode="External"/><Relationship Id="rId15" Type="http://schemas.openxmlformats.org/officeDocument/2006/relationships/hyperlink" Target="https://drive.google.com/drive/folders/1lC321bvuGbGm3f--BsjGL0SZwqVosapt?usp=sharing" TargetMode="External"/><Relationship Id="rId14" Type="http://schemas.openxmlformats.org/officeDocument/2006/relationships/hyperlink" Target="https://drive.google.com/drive/folders/1lC321bvuGbGm3f--BsjGL0SZwqVosapt?usp=sharing" TargetMode="External"/><Relationship Id="rId17" Type="http://schemas.openxmlformats.org/officeDocument/2006/relationships/hyperlink" Target="https://docs.google.com/document/d/1d1ooopd_B9V5r5LEYGW6rv2IvVfC6G39/edit?usp=sharing&amp;ouid=108612893278112391561&amp;rtpof=true&amp;sd=true" TargetMode="External"/><Relationship Id="rId16" Type="http://schemas.openxmlformats.org/officeDocument/2006/relationships/hyperlink" Target="https://drive.google.com/drive/folders/1lC321bvuGbGm3f--BsjGL0SZwqVosapt?usp=sharing" TargetMode="External"/><Relationship Id="rId19" Type="http://schemas.openxmlformats.org/officeDocument/2006/relationships/hyperlink" Target="https://drive.google.com/drive/folders/1lC321bvuGbGm3f--BsjGL0SZwqVosapt?usp=sharing" TargetMode="External"/><Relationship Id="rId18" Type="http://schemas.openxmlformats.org/officeDocument/2006/relationships/hyperlink" Target="https://docs.google.com/document/d/18JYkjcdonKtQ7-jcdNNfzedoNlWpLAZh/edit?usp=sharing&amp;ouid=108612893278112391561&amp;rtpof=true&amp;sd=tru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8PW0I3R6KQswlvbIpAXgmYzpPQ==">CgMxLjAyDWgueW9wZWgxdDBjMnU4AHIhMWxmRWhPU3gxckF5QXF2SkF4djBxMzNtWE5yRFdlQWRI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2025-07-16T02:09:00Z</dcterms:created>
  <dc:creator>LEYDHER</dc:creator>
</cp:coreProperties>
</file>